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3DB" w:rsidRPr="0058484D" w:rsidRDefault="00425B52" w:rsidP="002E33F7">
      <w:pPr>
        <w:pStyle w:val="Title-Professional"/>
        <w:pBdr>
          <w:right w:val="single" w:sz="6" w:space="10" w:color="auto"/>
        </w:pBdr>
        <w:rPr>
          <w:sz w:val="56"/>
          <w:szCs w:val="56"/>
        </w:rPr>
      </w:pPr>
      <w:r>
        <w:rPr>
          <w:sz w:val="56"/>
          <w:szCs w:val="56"/>
        </w:rPr>
        <w:t>Seneca Newsletter</w:t>
      </w:r>
    </w:p>
    <w:p w:rsidR="00CA73DB" w:rsidRDefault="00304484" w:rsidP="002E33F7">
      <w:pPr>
        <w:pStyle w:val="IssueVolumeDate-Professional"/>
        <w:pBdr>
          <w:right w:val="single" w:sz="6" w:space="10" w:color="auto"/>
        </w:pBdr>
      </w:pPr>
      <w:r>
        <w:rPr>
          <w:noProof/>
        </w:rPr>
        <mc:AlternateContent>
          <mc:Choice Requires="wps">
            <w:drawing>
              <wp:anchor distT="0" distB="0" distL="114300" distR="114300" simplePos="0" relativeHeight="251660288" behindDoc="0" locked="0" layoutInCell="0" allowOverlap="1" wp14:anchorId="0500A30D" wp14:editId="047BCB72">
                <wp:simplePos x="0" y="0"/>
                <wp:positionH relativeFrom="column">
                  <wp:posOffset>-46074</wp:posOffset>
                </wp:positionH>
                <wp:positionV relativeFrom="paragraph">
                  <wp:posOffset>254295</wp:posOffset>
                </wp:positionV>
                <wp:extent cx="6705600" cy="1261731"/>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26173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8F0F9C" w:rsidRDefault="008F0F9C" w:rsidP="008F0F9C">
                            <w:pPr>
                              <w:pStyle w:val="Heading1-Professional"/>
                              <w:spacing w:before="0" w:after="0" w:line="240" w:lineRule="atLeast"/>
                              <w:rPr>
                                <w:sz w:val="24"/>
                                <w:szCs w:val="24"/>
                              </w:rPr>
                            </w:pPr>
                            <w:r>
                              <w:rPr>
                                <w:sz w:val="24"/>
                                <w:szCs w:val="24"/>
                              </w:rPr>
                              <w:t xml:space="preserve">     </w:t>
                            </w:r>
                            <w:r w:rsidR="00425B52">
                              <w:rPr>
                                <w:sz w:val="24"/>
                                <w:szCs w:val="24"/>
                              </w:rPr>
                              <w:t>At the city council meeting on February 9</w:t>
                            </w:r>
                            <w:r w:rsidR="00425B52" w:rsidRPr="00425B52">
                              <w:rPr>
                                <w:sz w:val="24"/>
                                <w:szCs w:val="24"/>
                                <w:vertAlign w:val="superscript"/>
                              </w:rPr>
                              <w:t>th</w:t>
                            </w:r>
                            <w:r w:rsidR="00425B52">
                              <w:rPr>
                                <w:sz w:val="24"/>
                                <w:szCs w:val="24"/>
                              </w:rPr>
                              <w:t xml:space="preserve"> 2016, the council unanimously passed 3 resolutions regarding the utility rates for the city. </w:t>
                            </w:r>
                            <w:r w:rsidR="00040F43">
                              <w:rPr>
                                <w:sz w:val="24"/>
                                <w:szCs w:val="24"/>
                              </w:rPr>
                              <w:t>The rates are effective April 1, 2016. Customers will see these rates reflected on their May 1</w:t>
                            </w:r>
                            <w:r w:rsidR="00040F43" w:rsidRPr="00040F43">
                              <w:rPr>
                                <w:sz w:val="24"/>
                                <w:szCs w:val="24"/>
                                <w:vertAlign w:val="superscript"/>
                              </w:rPr>
                              <w:t>st</w:t>
                            </w:r>
                            <w:r w:rsidR="00040F43">
                              <w:rPr>
                                <w:sz w:val="24"/>
                                <w:szCs w:val="24"/>
                              </w:rPr>
                              <w:t xml:space="preserve"> billing statement for the month of April. The following is a summary of the rate changes:</w:t>
                            </w:r>
                          </w:p>
                          <w:p w:rsidR="0058484D" w:rsidRDefault="0058484D" w:rsidP="008F0F9C">
                            <w:pPr>
                              <w:pStyle w:val="Heading1-Professional"/>
                              <w:spacing w:before="0" w:after="0" w:line="240" w:lineRule="atLeast"/>
                              <w:rPr>
                                <w:sz w:val="24"/>
                                <w:szCs w:val="24"/>
                              </w:rPr>
                            </w:pPr>
                          </w:p>
                          <w:p w:rsidR="008F0F9C" w:rsidRPr="00304484" w:rsidRDefault="008F0F9C" w:rsidP="00040F43">
                            <w:pPr>
                              <w:pStyle w:val="Heading1-Professional"/>
                              <w:spacing w:before="0" w:after="0" w:line="240" w:lineRule="atLeast"/>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5pt;margin-top:20pt;width:528pt;height:9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" o:allowincell="f" filled="f" stroked="f">
                <v:textbox>
                  <w:txbxContent>
                    <w:p w:rsidR="008F0F9C" w:rsidRDefault="008F0F9C" w:rsidP="008F0F9C">
                      <w:pPr>
                        <w:pStyle w:val="Heading1-Professional"/>
                        <w:spacing w:before="0" w:after="0" w:line="240" w:lineRule="atLeast"/>
                        <w:rPr>
                          <w:sz w:val="24"/>
                          <w:szCs w:val="24"/>
                        </w:rPr>
                      </w:pPr>
                      <w:r>
                        <w:rPr>
                          <w:sz w:val="24"/>
                          <w:szCs w:val="24"/>
                        </w:rPr>
                        <w:t xml:space="preserve">     </w:t>
                      </w:r>
                      <w:r w:rsidR="00425B52">
                        <w:rPr>
                          <w:sz w:val="24"/>
                          <w:szCs w:val="24"/>
                        </w:rPr>
                        <w:t>At the city council meeting on February 9</w:t>
                      </w:r>
                      <w:r w:rsidR="00425B52" w:rsidRPr="00425B52">
                        <w:rPr>
                          <w:sz w:val="24"/>
                          <w:szCs w:val="24"/>
                          <w:vertAlign w:val="superscript"/>
                        </w:rPr>
                        <w:t>th</w:t>
                      </w:r>
                      <w:r w:rsidR="00425B52">
                        <w:rPr>
                          <w:sz w:val="24"/>
                          <w:szCs w:val="24"/>
                        </w:rPr>
                        <w:t xml:space="preserve"> 2016, the council unanimously passed 3 resolutions regarding the utility rates for the city. </w:t>
                      </w:r>
                      <w:r w:rsidR="00040F43">
                        <w:rPr>
                          <w:sz w:val="24"/>
                          <w:szCs w:val="24"/>
                        </w:rPr>
                        <w:t>The rates are effective April 1, 2016. Customers will see these rates reflected on their May 1</w:t>
                      </w:r>
                      <w:r w:rsidR="00040F43" w:rsidRPr="00040F43">
                        <w:rPr>
                          <w:sz w:val="24"/>
                          <w:szCs w:val="24"/>
                          <w:vertAlign w:val="superscript"/>
                        </w:rPr>
                        <w:t>st</w:t>
                      </w:r>
                      <w:r w:rsidR="00040F43">
                        <w:rPr>
                          <w:sz w:val="24"/>
                          <w:szCs w:val="24"/>
                        </w:rPr>
                        <w:t xml:space="preserve"> billing statement for the month of April. The following is a summary of the rate changes:</w:t>
                      </w:r>
                    </w:p>
                    <w:p w:rsidR="0058484D" w:rsidRDefault="0058484D" w:rsidP="008F0F9C">
                      <w:pPr>
                        <w:pStyle w:val="Heading1-Professional"/>
                        <w:spacing w:before="0" w:after="0" w:line="240" w:lineRule="atLeast"/>
                        <w:rPr>
                          <w:sz w:val="24"/>
                          <w:szCs w:val="24"/>
                        </w:rPr>
                      </w:pPr>
                    </w:p>
                    <w:p w:rsidR="008F0F9C" w:rsidRPr="00304484" w:rsidRDefault="008F0F9C" w:rsidP="00040F43">
                      <w:pPr>
                        <w:pStyle w:val="Heading1-Professional"/>
                        <w:spacing w:before="0" w:after="0" w:line="240" w:lineRule="atLeast"/>
                        <w:rPr>
                          <w:sz w:val="24"/>
                          <w:szCs w:val="24"/>
                        </w:rPr>
                      </w:pPr>
                    </w:p>
                  </w:txbxContent>
                </v:textbox>
              </v:shape>
            </w:pict>
          </mc:Fallback>
        </mc:AlternateContent>
      </w:r>
      <w:r w:rsidR="00CA73DB">
        <w:tab/>
      </w:r>
      <w:r w:rsidR="00425B52">
        <w:t>March</w:t>
      </w:r>
      <w:r w:rsidR="008F0F9C">
        <w:t xml:space="preserve"> 2016</w:t>
      </w:r>
    </w:p>
    <w:p w:rsidR="00D345E0" w:rsidRDefault="00D345E0" w:rsidP="00AF4DA5"/>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957C7" w:rsidRDefault="00D957C7" w:rsidP="00D345E0"/>
    <w:p w:rsidR="00D957C7" w:rsidRDefault="00D957C7" w:rsidP="00D345E0">
      <w:pPr>
        <w:sectPr w:rsidR="00D957C7" w:rsidSect="00304484">
          <w:footerReference w:type="default" r:id="rId8"/>
          <w:pgSz w:w="12240" w:h="15840" w:code="1"/>
          <w:pgMar w:top="720" w:right="720" w:bottom="720" w:left="720" w:header="720" w:footer="720" w:gutter="0"/>
          <w:cols w:space="720"/>
          <w:docGrid w:linePitch="272"/>
        </w:sectPr>
      </w:pPr>
    </w:p>
    <w:p w:rsidR="00D957C7" w:rsidRPr="00D345E0" w:rsidRDefault="00D957C7" w:rsidP="00D345E0"/>
    <w:tbl>
      <w:tblPr>
        <w:tblStyle w:val="TableGrid"/>
        <w:tblW w:w="0" w:type="auto"/>
        <w:tblLook w:val="04A0" w:firstRow="1" w:lastRow="0" w:firstColumn="1" w:lastColumn="0" w:noHBand="0" w:noVBand="1"/>
      </w:tblPr>
      <w:tblGrid>
        <w:gridCol w:w="1116"/>
        <w:gridCol w:w="1110"/>
        <w:gridCol w:w="1110"/>
      </w:tblGrid>
      <w:tr w:rsidR="00040F43" w:rsidTr="00343C7E">
        <w:tc>
          <w:tcPr>
            <w:tcW w:w="3336" w:type="dxa"/>
            <w:gridSpan w:val="3"/>
          </w:tcPr>
          <w:p w:rsidR="00040F43" w:rsidRPr="007D79E3" w:rsidRDefault="00040F43" w:rsidP="00040F43">
            <w:pPr>
              <w:jc w:val="center"/>
              <w:rPr>
                <w:b/>
                <w:sz w:val="28"/>
                <w:szCs w:val="28"/>
              </w:rPr>
            </w:pPr>
            <w:r w:rsidRPr="007D79E3">
              <w:rPr>
                <w:b/>
                <w:sz w:val="28"/>
                <w:szCs w:val="28"/>
              </w:rPr>
              <w:t>WATER</w:t>
            </w:r>
          </w:p>
        </w:tc>
      </w:tr>
      <w:tr w:rsidR="00040F43" w:rsidTr="00040F43">
        <w:tc>
          <w:tcPr>
            <w:tcW w:w="1112" w:type="dxa"/>
          </w:tcPr>
          <w:p w:rsidR="00040F43" w:rsidRDefault="00040F43" w:rsidP="00D345E0"/>
        </w:tc>
        <w:tc>
          <w:tcPr>
            <w:tcW w:w="1112" w:type="dxa"/>
          </w:tcPr>
          <w:p w:rsidR="00040F43" w:rsidRDefault="00040F43" w:rsidP="00040F43">
            <w:pPr>
              <w:jc w:val="center"/>
            </w:pPr>
            <w:r>
              <w:t>Current</w:t>
            </w:r>
          </w:p>
        </w:tc>
        <w:tc>
          <w:tcPr>
            <w:tcW w:w="1112" w:type="dxa"/>
          </w:tcPr>
          <w:p w:rsidR="00040F43" w:rsidRDefault="00040F43" w:rsidP="00040F43">
            <w:pPr>
              <w:jc w:val="center"/>
            </w:pPr>
            <w:r>
              <w:t>New</w:t>
            </w:r>
          </w:p>
        </w:tc>
      </w:tr>
      <w:tr w:rsidR="00040F43" w:rsidTr="00040F43">
        <w:tc>
          <w:tcPr>
            <w:tcW w:w="1112" w:type="dxa"/>
          </w:tcPr>
          <w:p w:rsidR="00040F43" w:rsidRDefault="00040F43" w:rsidP="00D345E0">
            <w:r>
              <w:t>Residential</w:t>
            </w:r>
          </w:p>
        </w:tc>
        <w:tc>
          <w:tcPr>
            <w:tcW w:w="1112" w:type="dxa"/>
          </w:tcPr>
          <w:p w:rsidR="00040F43" w:rsidRDefault="00040F43" w:rsidP="00040F43">
            <w:pPr>
              <w:jc w:val="center"/>
            </w:pPr>
            <w:r>
              <w:t>$41.00</w:t>
            </w:r>
          </w:p>
        </w:tc>
        <w:tc>
          <w:tcPr>
            <w:tcW w:w="1112" w:type="dxa"/>
          </w:tcPr>
          <w:p w:rsidR="00040F43" w:rsidRDefault="00040F43" w:rsidP="00040F43">
            <w:pPr>
              <w:jc w:val="center"/>
            </w:pPr>
            <w:r>
              <w:t>$45.00</w:t>
            </w:r>
          </w:p>
        </w:tc>
      </w:tr>
      <w:tr w:rsidR="00040F43" w:rsidTr="00040F43">
        <w:tc>
          <w:tcPr>
            <w:tcW w:w="1112" w:type="dxa"/>
          </w:tcPr>
          <w:p w:rsidR="00040F43" w:rsidRDefault="00040F43" w:rsidP="00D345E0">
            <w:r>
              <w:t>Business</w:t>
            </w:r>
          </w:p>
        </w:tc>
        <w:tc>
          <w:tcPr>
            <w:tcW w:w="1112" w:type="dxa"/>
          </w:tcPr>
          <w:p w:rsidR="00040F43" w:rsidRDefault="007C7035" w:rsidP="00040F43">
            <w:pPr>
              <w:jc w:val="center"/>
            </w:pPr>
            <w:r>
              <w:t>$43.00</w:t>
            </w:r>
          </w:p>
        </w:tc>
        <w:tc>
          <w:tcPr>
            <w:tcW w:w="1112" w:type="dxa"/>
          </w:tcPr>
          <w:p w:rsidR="00040F43" w:rsidRDefault="00D957C7" w:rsidP="00040F43">
            <w:pPr>
              <w:jc w:val="center"/>
            </w:pPr>
            <w:r>
              <w:t>$47.00</w:t>
            </w:r>
          </w:p>
        </w:tc>
      </w:tr>
      <w:tr w:rsidR="00040F43" w:rsidTr="00040F43">
        <w:tc>
          <w:tcPr>
            <w:tcW w:w="1112" w:type="dxa"/>
          </w:tcPr>
          <w:p w:rsidR="00040F43" w:rsidRDefault="00040F43" w:rsidP="00D345E0"/>
        </w:tc>
        <w:tc>
          <w:tcPr>
            <w:tcW w:w="1112" w:type="dxa"/>
          </w:tcPr>
          <w:p w:rsidR="00040F43" w:rsidRDefault="00040F43" w:rsidP="00D345E0"/>
        </w:tc>
        <w:tc>
          <w:tcPr>
            <w:tcW w:w="1112" w:type="dxa"/>
          </w:tcPr>
          <w:p w:rsidR="00040F43" w:rsidRDefault="00040F43" w:rsidP="00D345E0"/>
        </w:tc>
      </w:tr>
    </w:tbl>
    <w:p w:rsidR="00D345E0" w:rsidRPr="00D345E0" w:rsidRDefault="00D345E0" w:rsidP="00D345E0"/>
    <w:p w:rsidR="00D345E0" w:rsidRDefault="00D345E0" w:rsidP="00D345E0"/>
    <w:p w:rsidR="00B50499" w:rsidRPr="00B50499" w:rsidRDefault="007C7035" w:rsidP="00D345E0">
      <w:pPr>
        <w:rPr>
          <w:sz w:val="24"/>
          <w:szCs w:val="24"/>
        </w:rPr>
      </w:pPr>
      <w:r w:rsidRPr="00B50499">
        <w:rPr>
          <w:sz w:val="24"/>
          <w:szCs w:val="24"/>
        </w:rPr>
        <w:t xml:space="preserve">The </w:t>
      </w:r>
      <w:r w:rsidR="00B50499" w:rsidRPr="00B50499">
        <w:rPr>
          <w:b/>
          <w:sz w:val="24"/>
          <w:szCs w:val="24"/>
        </w:rPr>
        <w:t>water</w:t>
      </w:r>
      <w:r w:rsidR="00B50499">
        <w:rPr>
          <w:sz w:val="24"/>
          <w:szCs w:val="24"/>
        </w:rPr>
        <w:t xml:space="preserve"> base rate</w:t>
      </w:r>
      <w:r w:rsidRPr="00B50499">
        <w:rPr>
          <w:sz w:val="24"/>
          <w:szCs w:val="24"/>
        </w:rPr>
        <w:t xml:space="preserve"> is increasing in order to meet operation and maintenance costs of the water system. Additionally, the city will begin to read water meters starting in the month of May. The first two months (May and June) will be </w:t>
      </w:r>
      <w:r w:rsidR="007D79E3" w:rsidRPr="00B50499">
        <w:rPr>
          <w:sz w:val="24"/>
          <w:szCs w:val="24"/>
        </w:rPr>
        <w:t>for informational purposes only for customers to get a feel for their monthly usage. Beginning in July, there will be overage charges of $4 per 1000 gallons for usage over the base amount of 7500 gallons/month.</w:t>
      </w:r>
    </w:p>
    <w:p w:rsidR="00D957C7" w:rsidRPr="00D345E0" w:rsidRDefault="00D957C7" w:rsidP="00D345E0"/>
    <w:tbl>
      <w:tblPr>
        <w:tblStyle w:val="TableGrid"/>
        <w:tblW w:w="0" w:type="auto"/>
        <w:tblLook w:val="04A0" w:firstRow="1" w:lastRow="0" w:firstColumn="1" w:lastColumn="0" w:noHBand="0" w:noVBand="1"/>
      </w:tblPr>
      <w:tblGrid>
        <w:gridCol w:w="1116"/>
        <w:gridCol w:w="1110"/>
        <w:gridCol w:w="1110"/>
      </w:tblGrid>
      <w:tr w:rsidR="00D957C7" w:rsidTr="008C566C">
        <w:tc>
          <w:tcPr>
            <w:tcW w:w="3336" w:type="dxa"/>
            <w:gridSpan w:val="3"/>
          </w:tcPr>
          <w:p w:rsidR="00D957C7" w:rsidRPr="007D79E3" w:rsidRDefault="00D957C7" w:rsidP="008C566C">
            <w:pPr>
              <w:jc w:val="center"/>
              <w:rPr>
                <w:b/>
                <w:sz w:val="28"/>
                <w:szCs w:val="28"/>
              </w:rPr>
            </w:pPr>
            <w:r w:rsidRPr="007D79E3">
              <w:rPr>
                <w:b/>
                <w:sz w:val="28"/>
                <w:szCs w:val="28"/>
              </w:rPr>
              <w:t>SEWER</w:t>
            </w:r>
          </w:p>
        </w:tc>
      </w:tr>
      <w:tr w:rsidR="00D957C7" w:rsidTr="008C566C">
        <w:tc>
          <w:tcPr>
            <w:tcW w:w="1112" w:type="dxa"/>
          </w:tcPr>
          <w:p w:rsidR="00D957C7" w:rsidRDefault="00D957C7" w:rsidP="008C566C"/>
        </w:tc>
        <w:tc>
          <w:tcPr>
            <w:tcW w:w="1112" w:type="dxa"/>
          </w:tcPr>
          <w:p w:rsidR="00D957C7" w:rsidRDefault="00D957C7" w:rsidP="008C566C">
            <w:pPr>
              <w:jc w:val="center"/>
            </w:pPr>
            <w:r>
              <w:t>Current</w:t>
            </w:r>
          </w:p>
        </w:tc>
        <w:tc>
          <w:tcPr>
            <w:tcW w:w="1112" w:type="dxa"/>
          </w:tcPr>
          <w:p w:rsidR="00D957C7" w:rsidRDefault="00D957C7" w:rsidP="008C566C">
            <w:pPr>
              <w:jc w:val="center"/>
            </w:pPr>
            <w:r>
              <w:t>New</w:t>
            </w:r>
          </w:p>
        </w:tc>
      </w:tr>
      <w:tr w:rsidR="00D957C7" w:rsidTr="008C566C">
        <w:tc>
          <w:tcPr>
            <w:tcW w:w="1112" w:type="dxa"/>
          </w:tcPr>
          <w:p w:rsidR="00D957C7" w:rsidRDefault="00D957C7" w:rsidP="008C566C">
            <w:r>
              <w:t>Residential</w:t>
            </w:r>
          </w:p>
        </w:tc>
        <w:tc>
          <w:tcPr>
            <w:tcW w:w="1112" w:type="dxa"/>
          </w:tcPr>
          <w:p w:rsidR="00D957C7" w:rsidRDefault="00D957C7" w:rsidP="007C7035">
            <w:pPr>
              <w:jc w:val="center"/>
            </w:pPr>
            <w:r>
              <w:t>$</w:t>
            </w:r>
            <w:r w:rsidR="007C7035">
              <w:t>24.00</w:t>
            </w:r>
          </w:p>
        </w:tc>
        <w:tc>
          <w:tcPr>
            <w:tcW w:w="1112" w:type="dxa"/>
          </w:tcPr>
          <w:p w:rsidR="00D957C7" w:rsidRDefault="00D957C7" w:rsidP="007C7035">
            <w:pPr>
              <w:jc w:val="center"/>
            </w:pPr>
            <w:r>
              <w:t>$</w:t>
            </w:r>
            <w:r w:rsidR="007C7035">
              <w:t>36.00</w:t>
            </w:r>
          </w:p>
        </w:tc>
      </w:tr>
      <w:tr w:rsidR="00D957C7" w:rsidTr="008C566C">
        <w:tc>
          <w:tcPr>
            <w:tcW w:w="1112" w:type="dxa"/>
          </w:tcPr>
          <w:p w:rsidR="00D957C7" w:rsidRDefault="00D957C7" w:rsidP="008C566C">
            <w:r>
              <w:t>Business</w:t>
            </w:r>
          </w:p>
        </w:tc>
        <w:tc>
          <w:tcPr>
            <w:tcW w:w="1112" w:type="dxa"/>
          </w:tcPr>
          <w:p w:rsidR="00D957C7" w:rsidRDefault="007C7035" w:rsidP="008C566C">
            <w:pPr>
              <w:jc w:val="center"/>
            </w:pPr>
            <w:r>
              <w:t>$27.25</w:t>
            </w:r>
          </w:p>
        </w:tc>
        <w:tc>
          <w:tcPr>
            <w:tcW w:w="1112" w:type="dxa"/>
          </w:tcPr>
          <w:p w:rsidR="00D957C7" w:rsidRDefault="007C7035" w:rsidP="008C566C">
            <w:pPr>
              <w:jc w:val="center"/>
            </w:pPr>
            <w:r>
              <w:t>$43.00</w:t>
            </w:r>
          </w:p>
        </w:tc>
      </w:tr>
      <w:tr w:rsidR="00D957C7" w:rsidTr="008C566C">
        <w:tc>
          <w:tcPr>
            <w:tcW w:w="1112" w:type="dxa"/>
          </w:tcPr>
          <w:p w:rsidR="00D957C7" w:rsidRDefault="00D957C7" w:rsidP="008C566C"/>
        </w:tc>
        <w:tc>
          <w:tcPr>
            <w:tcW w:w="1112" w:type="dxa"/>
          </w:tcPr>
          <w:p w:rsidR="00D957C7" w:rsidRDefault="00D957C7" w:rsidP="008C566C"/>
        </w:tc>
        <w:tc>
          <w:tcPr>
            <w:tcW w:w="1112" w:type="dxa"/>
          </w:tcPr>
          <w:p w:rsidR="00D957C7" w:rsidRDefault="00D957C7" w:rsidP="008C566C"/>
        </w:tc>
      </w:tr>
    </w:tbl>
    <w:p w:rsidR="00040F43" w:rsidRDefault="00040F43" w:rsidP="00040F43"/>
    <w:p w:rsidR="00D957C7" w:rsidRDefault="00D957C7" w:rsidP="00040F43"/>
    <w:p w:rsidR="00B50499" w:rsidRPr="00B50499" w:rsidRDefault="007D79E3" w:rsidP="00040F43">
      <w:pPr>
        <w:rPr>
          <w:sz w:val="24"/>
          <w:szCs w:val="24"/>
        </w:rPr>
      </w:pPr>
      <w:r w:rsidRPr="00B50499">
        <w:rPr>
          <w:sz w:val="24"/>
          <w:szCs w:val="24"/>
        </w:rPr>
        <w:t xml:space="preserve">The </w:t>
      </w:r>
      <w:r w:rsidRPr="00B50499">
        <w:rPr>
          <w:b/>
          <w:sz w:val="24"/>
          <w:szCs w:val="24"/>
        </w:rPr>
        <w:t>sewer</w:t>
      </w:r>
      <w:r w:rsidRPr="00B50499">
        <w:rPr>
          <w:sz w:val="24"/>
          <w:szCs w:val="24"/>
        </w:rPr>
        <w:t xml:space="preserve"> rate increase is the most significant. This is primarily in preparation for the debt service/loan the city will incur for the construction of a new sewer facility. The city is finalizing plans and working to secure total funding for the project. </w:t>
      </w:r>
      <w:r w:rsidR="00B50499" w:rsidRPr="00B50499">
        <w:rPr>
          <w:sz w:val="24"/>
          <w:szCs w:val="24"/>
        </w:rPr>
        <w:t>The project is expected to be fully funded by the end of 2016 and construction may begin as early as spring of 2017.</w:t>
      </w:r>
    </w:p>
    <w:p w:rsidR="00B50499" w:rsidRDefault="00B50499" w:rsidP="00040F43"/>
    <w:p w:rsidR="00B50499" w:rsidRDefault="00B50499" w:rsidP="00040F43"/>
    <w:p w:rsidR="00B50499" w:rsidRDefault="00B50499" w:rsidP="00040F43"/>
    <w:p w:rsidR="00D957C7" w:rsidRDefault="00D957C7" w:rsidP="00040F43"/>
    <w:p w:rsidR="00D957C7" w:rsidRPr="00D345E0" w:rsidRDefault="00D957C7" w:rsidP="00040F43"/>
    <w:tbl>
      <w:tblPr>
        <w:tblStyle w:val="TableGrid"/>
        <w:tblW w:w="0" w:type="auto"/>
        <w:tblLook w:val="04A0" w:firstRow="1" w:lastRow="0" w:firstColumn="1" w:lastColumn="0" w:noHBand="0" w:noVBand="1"/>
      </w:tblPr>
      <w:tblGrid>
        <w:gridCol w:w="1116"/>
        <w:gridCol w:w="1110"/>
        <w:gridCol w:w="1110"/>
      </w:tblGrid>
      <w:tr w:rsidR="00D957C7" w:rsidTr="008C566C">
        <w:tc>
          <w:tcPr>
            <w:tcW w:w="3336" w:type="dxa"/>
            <w:gridSpan w:val="3"/>
          </w:tcPr>
          <w:p w:rsidR="00D957C7" w:rsidRPr="007D79E3" w:rsidRDefault="00D957C7" w:rsidP="008C566C">
            <w:pPr>
              <w:jc w:val="center"/>
              <w:rPr>
                <w:b/>
                <w:sz w:val="28"/>
                <w:szCs w:val="28"/>
              </w:rPr>
            </w:pPr>
            <w:r w:rsidRPr="007D79E3">
              <w:rPr>
                <w:b/>
                <w:sz w:val="28"/>
                <w:szCs w:val="28"/>
              </w:rPr>
              <w:t>DUMP</w:t>
            </w:r>
          </w:p>
        </w:tc>
      </w:tr>
      <w:tr w:rsidR="00D957C7" w:rsidTr="008C566C">
        <w:tc>
          <w:tcPr>
            <w:tcW w:w="1112" w:type="dxa"/>
          </w:tcPr>
          <w:p w:rsidR="00D957C7" w:rsidRDefault="00D957C7" w:rsidP="008C566C"/>
        </w:tc>
        <w:tc>
          <w:tcPr>
            <w:tcW w:w="1112" w:type="dxa"/>
          </w:tcPr>
          <w:p w:rsidR="00D957C7" w:rsidRDefault="00D957C7" w:rsidP="008C566C">
            <w:pPr>
              <w:jc w:val="center"/>
            </w:pPr>
            <w:r>
              <w:t>Current</w:t>
            </w:r>
          </w:p>
        </w:tc>
        <w:tc>
          <w:tcPr>
            <w:tcW w:w="1112" w:type="dxa"/>
          </w:tcPr>
          <w:p w:rsidR="00D957C7" w:rsidRDefault="00D957C7" w:rsidP="008C566C">
            <w:pPr>
              <w:jc w:val="center"/>
            </w:pPr>
            <w:r>
              <w:t>New</w:t>
            </w:r>
          </w:p>
        </w:tc>
      </w:tr>
      <w:tr w:rsidR="00D957C7" w:rsidTr="008C566C">
        <w:tc>
          <w:tcPr>
            <w:tcW w:w="1112" w:type="dxa"/>
          </w:tcPr>
          <w:p w:rsidR="00D957C7" w:rsidRDefault="00D957C7" w:rsidP="008C566C">
            <w:r>
              <w:t>Residential</w:t>
            </w:r>
          </w:p>
        </w:tc>
        <w:tc>
          <w:tcPr>
            <w:tcW w:w="1112" w:type="dxa"/>
          </w:tcPr>
          <w:p w:rsidR="00D957C7" w:rsidRDefault="00D957C7" w:rsidP="008C566C">
            <w:pPr>
              <w:jc w:val="center"/>
            </w:pPr>
            <w:r>
              <w:t>$15</w:t>
            </w:r>
            <w:r>
              <w:t>.00</w:t>
            </w:r>
          </w:p>
        </w:tc>
        <w:tc>
          <w:tcPr>
            <w:tcW w:w="1112" w:type="dxa"/>
          </w:tcPr>
          <w:p w:rsidR="00D957C7" w:rsidRDefault="00D957C7" w:rsidP="008C566C">
            <w:pPr>
              <w:jc w:val="center"/>
            </w:pPr>
            <w:r>
              <w:t>$16</w:t>
            </w:r>
            <w:r>
              <w:t>.00</w:t>
            </w:r>
          </w:p>
        </w:tc>
      </w:tr>
      <w:tr w:rsidR="00D957C7" w:rsidTr="008C566C">
        <w:tc>
          <w:tcPr>
            <w:tcW w:w="1112" w:type="dxa"/>
          </w:tcPr>
          <w:p w:rsidR="00D957C7" w:rsidRDefault="00D957C7" w:rsidP="008C566C">
            <w:r>
              <w:t>Business</w:t>
            </w:r>
          </w:p>
        </w:tc>
        <w:tc>
          <w:tcPr>
            <w:tcW w:w="1112" w:type="dxa"/>
          </w:tcPr>
          <w:p w:rsidR="00D957C7" w:rsidRDefault="007C7035" w:rsidP="008C566C">
            <w:pPr>
              <w:jc w:val="center"/>
            </w:pPr>
            <w:r>
              <w:t>$20.00</w:t>
            </w:r>
          </w:p>
        </w:tc>
        <w:tc>
          <w:tcPr>
            <w:tcW w:w="1112" w:type="dxa"/>
          </w:tcPr>
          <w:p w:rsidR="00D957C7" w:rsidRDefault="007C7035" w:rsidP="008C566C">
            <w:pPr>
              <w:jc w:val="center"/>
            </w:pPr>
            <w:r>
              <w:t>$25.00</w:t>
            </w:r>
          </w:p>
        </w:tc>
      </w:tr>
      <w:tr w:rsidR="00D957C7" w:rsidTr="007C7035">
        <w:tc>
          <w:tcPr>
            <w:tcW w:w="1112" w:type="dxa"/>
          </w:tcPr>
          <w:p w:rsidR="00D957C7" w:rsidRDefault="00D957C7" w:rsidP="008C566C">
            <w:r>
              <w:t>Non-Res-</w:t>
            </w:r>
          </w:p>
          <w:p w:rsidR="00D957C7" w:rsidRDefault="00D957C7" w:rsidP="008C566C">
            <w:r>
              <w:t>Residential</w:t>
            </w:r>
          </w:p>
        </w:tc>
        <w:tc>
          <w:tcPr>
            <w:tcW w:w="1112" w:type="dxa"/>
            <w:vAlign w:val="center"/>
          </w:tcPr>
          <w:p w:rsidR="00D957C7" w:rsidRDefault="007C7035" w:rsidP="007C7035">
            <w:pPr>
              <w:jc w:val="center"/>
            </w:pPr>
            <w:r>
              <w:t>$18.00</w:t>
            </w:r>
          </w:p>
        </w:tc>
        <w:tc>
          <w:tcPr>
            <w:tcW w:w="1112" w:type="dxa"/>
            <w:vAlign w:val="center"/>
          </w:tcPr>
          <w:p w:rsidR="00D957C7" w:rsidRDefault="007C7035" w:rsidP="007C7035">
            <w:pPr>
              <w:jc w:val="center"/>
            </w:pPr>
            <w:r>
              <w:t>$22.00</w:t>
            </w:r>
          </w:p>
        </w:tc>
      </w:tr>
      <w:tr w:rsidR="00D957C7" w:rsidTr="007C7035">
        <w:tc>
          <w:tcPr>
            <w:tcW w:w="1112" w:type="dxa"/>
          </w:tcPr>
          <w:p w:rsidR="00D957C7" w:rsidRDefault="00D957C7" w:rsidP="008C566C">
            <w:r>
              <w:t>Non-Res-</w:t>
            </w:r>
          </w:p>
          <w:p w:rsidR="00D957C7" w:rsidRDefault="00D957C7" w:rsidP="008C566C">
            <w:r>
              <w:t>Business</w:t>
            </w:r>
          </w:p>
        </w:tc>
        <w:tc>
          <w:tcPr>
            <w:tcW w:w="1112" w:type="dxa"/>
            <w:vAlign w:val="center"/>
          </w:tcPr>
          <w:p w:rsidR="00D957C7" w:rsidRDefault="007C7035" w:rsidP="007C7035">
            <w:pPr>
              <w:jc w:val="center"/>
            </w:pPr>
            <w:r>
              <w:t>$22.50</w:t>
            </w:r>
          </w:p>
        </w:tc>
        <w:tc>
          <w:tcPr>
            <w:tcW w:w="1112" w:type="dxa"/>
            <w:vAlign w:val="center"/>
          </w:tcPr>
          <w:p w:rsidR="00D957C7" w:rsidRDefault="007C7035" w:rsidP="007C7035">
            <w:pPr>
              <w:jc w:val="center"/>
            </w:pPr>
            <w:r>
              <w:t>$30.00</w:t>
            </w:r>
          </w:p>
        </w:tc>
      </w:tr>
    </w:tbl>
    <w:p w:rsidR="00D345E0" w:rsidRDefault="00D345E0" w:rsidP="00D345E0"/>
    <w:p w:rsidR="00D957C7" w:rsidRDefault="00D957C7" w:rsidP="00D345E0"/>
    <w:p w:rsidR="00D957C7" w:rsidRPr="00B50499" w:rsidRDefault="00B50499" w:rsidP="00D345E0">
      <w:pPr>
        <w:rPr>
          <w:sz w:val="24"/>
          <w:szCs w:val="24"/>
        </w:rPr>
      </w:pPr>
      <w:r>
        <w:rPr>
          <w:sz w:val="24"/>
          <w:szCs w:val="24"/>
        </w:rPr>
        <w:t xml:space="preserve">The </w:t>
      </w:r>
      <w:r w:rsidRPr="00B50499">
        <w:rPr>
          <w:b/>
          <w:sz w:val="24"/>
          <w:szCs w:val="24"/>
        </w:rPr>
        <w:t>dump</w:t>
      </w:r>
      <w:r>
        <w:rPr>
          <w:sz w:val="24"/>
          <w:szCs w:val="24"/>
        </w:rPr>
        <w:t xml:space="preserve"> rate increase is minor and will ensure fund stability. Business dump rates are increasing due to observed larger amounts produced by business customers.</w:t>
      </w:r>
    </w:p>
    <w:p w:rsidR="00D957C7" w:rsidRDefault="00D957C7" w:rsidP="00D345E0"/>
    <w:p w:rsidR="00D345E0" w:rsidRDefault="00D345E0" w:rsidP="00D345E0"/>
    <w:p w:rsidR="00B50499" w:rsidRPr="00D345E0" w:rsidRDefault="00B50499" w:rsidP="00D345E0"/>
    <w:p w:rsidR="00D345E0" w:rsidRPr="00D345E0" w:rsidRDefault="00D345E0" w:rsidP="00D345E0"/>
    <w:p w:rsidR="00040F43" w:rsidRDefault="00040F43" w:rsidP="00D345E0"/>
    <w:p w:rsidR="00B50499" w:rsidRDefault="00B50499" w:rsidP="00D345E0"/>
    <w:p w:rsidR="00B50499" w:rsidRDefault="00B50499" w:rsidP="00D345E0"/>
    <w:p w:rsidR="00B50499" w:rsidRDefault="00B50499" w:rsidP="00D345E0"/>
    <w:p w:rsidR="00B50499" w:rsidRDefault="00B50499" w:rsidP="00D345E0">
      <w:pPr>
        <w:sectPr w:rsidR="00B50499" w:rsidSect="00785072">
          <w:type w:val="continuous"/>
          <w:pgSz w:w="12240" w:h="15840" w:code="1"/>
          <w:pgMar w:top="720" w:right="720" w:bottom="720" w:left="720" w:header="720" w:footer="720" w:gutter="0"/>
          <w:cols w:num="3" w:sep="1" w:space="720"/>
          <w:docGrid w:linePitch="272"/>
        </w:sectPr>
      </w:pPr>
    </w:p>
    <w:p w:rsidR="00D345E0" w:rsidRDefault="00D345E0" w:rsidP="00040F43"/>
    <w:p w:rsidR="00D957C7" w:rsidRDefault="00D957C7" w:rsidP="00040F43"/>
    <w:p w:rsidR="007D79E3" w:rsidRDefault="007D79E3" w:rsidP="00040F43">
      <w:pPr>
        <w:sectPr w:rsidR="007D79E3" w:rsidSect="00040F43">
          <w:type w:val="continuous"/>
          <w:pgSz w:w="12240" w:h="15840" w:code="1"/>
          <w:pgMar w:top="720" w:right="720" w:bottom="720" w:left="720" w:header="720" w:footer="720" w:gutter="0"/>
          <w:cols w:num="3" w:space="720"/>
          <w:docGrid w:linePitch="272"/>
        </w:sectPr>
      </w:pPr>
    </w:p>
    <w:p w:rsidR="00785072" w:rsidRPr="00785072" w:rsidRDefault="009B339D" w:rsidP="00040F43">
      <w:pPr>
        <w:rPr>
          <w:sz w:val="24"/>
          <w:szCs w:val="24"/>
        </w:rPr>
      </w:pPr>
      <w:r>
        <w:rPr>
          <w:sz w:val="24"/>
          <w:szCs w:val="24"/>
        </w:rPr>
        <w:lastRenderedPageBreak/>
        <w:t xml:space="preserve">The RESIDENTIAL rate for combined services will increase from $80.00 to </w:t>
      </w:r>
      <w:r w:rsidR="00785072" w:rsidRPr="00785072">
        <w:rPr>
          <w:b/>
          <w:sz w:val="24"/>
          <w:szCs w:val="24"/>
        </w:rPr>
        <w:t>$97.00</w:t>
      </w:r>
      <w:r w:rsidR="00785072">
        <w:rPr>
          <w:b/>
          <w:sz w:val="24"/>
          <w:szCs w:val="24"/>
        </w:rPr>
        <w:t xml:space="preserve"> </w:t>
      </w:r>
      <w:r w:rsidR="00785072">
        <w:rPr>
          <w:sz w:val="24"/>
          <w:szCs w:val="24"/>
        </w:rPr>
        <w:t>per month.</w:t>
      </w:r>
    </w:p>
    <w:p w:rsidR="00785072" w:rsidRPr="00785072" w:rsidRDefault="00785072" w:rsidP="00040F43">
      <w:pPr>
        <w:rPr>
          <w:sz w:val="24"/>
          <w:szCs w:val="24"/>
        </w:rPr>
        <w:sectPr w:rsidR="00785072" w:rsidRPr="00785072" w:rsidSect="007D79E3">
          <w:type w:val="continuous"/>
          <w:pgSz w:w="12240" w:h="15840" w:code="1"/>
          <w:pgMar w:top="720" w:right="720" w:bottom="720" w:left="720" w:header="720" w:footer="720" w:gutter="0"/>
          <w:cols w:space="720"/>
          <w:docGrid w:linePitch="272"/>
        </w:sectPr>
      </w:pPr>
      <w:r>
        <w:rPr>
          <w:sz w:val="24"/>
          <w:szCs w:val="24"/>
        </w:rPr>
        <w:t xml:space="preserve">The BUSINESS rate for combined services will increase from $88.25 to </w:t>
      </w:r>
      <w:r>
        <w:rPr>
          <w:b/>
          <w:sz w:val="24"/>
          <w:szCs w:val="24"/>
        </w:rPr>
        <w:t>$11</w:t>
      </w:r>
      <w:r w:rsidRPr="00785072">
        <w:rPr>
          <w:b/>
          <w:sz w:val="24"/>
          <w:szCs w:val="24"/>
        </w:rPr>
        <w:t>5.00</w:t>
      </w:r>
      <w:r>
        <w:rPr>
          <w:sz w:val="24"/>
          <w:szCs w:val="24"/>
        </w:rPr>
        <w:t xml:space="preserve"> per month.</w:t>
      </w:r>
    </w:p>
    <w:p w:rsidR="00040F43" w:rsidRDefault="00040F43" w:rsidP="00785072">
      <w:pPr>
        <w:rPr>
          <w:sz w:val="24"/>
          <w:szCs w:val="24"/>
        </w:rPr>
        <w:sectPr w:rsidR="00040F43" w:rsidSect="00785072">
          <w:type w:val="continuous"/>
          <w:pgSz w:w="12240" w:h="15840" w:code="1"/>
          <w:pgMar w:top="720" w:right="720" w:bottom="720" w:left="720" w:header="720" w:footer="720" w:gutter="0"/>
          <w:cols w:space="720"/>
          <w:docGrid w:linePitch="272"/>
        </w:sectPr>
      </w:pPr>
    </w:p>
    <w:p w:rsidR="00785072" w:rsidRDefault="00AD7C47" w:rsidP="00785072">
      <w:pPr>
        <w:rPr>
          <w:sz w:val="24"/>
          <w:szCs w:val="24"/>
        </w:rPr>
      </w:pPr>
      <w:r>
        <w:rPr>
          <w:sz w:val="24"/>
          <w:szCs w:val="24"/>
        </w:rPr>
        <w:lastRenderedPageBreak/>
        <w:t xml:space="preserve">If you have questions, please contact the city hall or attend a council meeting on the second Tuesday of each month at 6:00pm. </w:t>
      </w:r>
    </w:p>
    <w:p w:rsidR="00785072" w:rsidRDefault="00785072" w:rsidP="00AD7C47">
      <w:pPr>
        <w:rPr>
          <w:sz w:val="24"/>
          <w:szCs w:val="24"/>
        </w:rPr>
      </w:pPr>
    </w:p>
    <w:p w:rsidR="00AD7C47" w:rsidRDefault="006677E9" w:rsidP="00AD7C47">
      <w:pPr>
        <w:rPr>
          <w:sz w:val="24"/>
          <w:szCs w:val="24"/>
        </w:rPr>
      </w:pPr>
      <w:r>
        <w:rPr>
          <w:sz w:val="24"/>
          <w:szCs w:val="24"/>
        </w:rPr>
        <w:t>Thanks to those who provided feedback as we</w:t>
      </w:r>
      <w:r w:rsidR="00AD7C47">
        <w:rPr>
          <w:sz w:val="24"/>
          <w:szCs w:val="24"/>
        </w:rPr>
        <w:t xml:space="preserve"> continue to update the new billing st</w:t>
      </w:r>
      <w:r>
        <w:rPr>
          <w:sz w:val="24"/>
          <w:szCs w:val="24"/>
        </w:rPr>
        <w:t>atements.</w:t>
      </w:r>
      <w:bookmarkStart w:id="0" w:name="_GoBack"/>
      <w:bookmarkEnd w:id="0"/>
    </w:p>
    <w:p w:rsidR="00785072" w:rsidRDefault="00785072" w:rsidP="0058484D">
      <w:pPr>
        <w:ind w:left="720"/>
        <w:rPr>
          <w:sz w:val="24"/>
          <w:szCs w:val="24"/>
        </w:rPr>
      </w:pPr>
      <w:r>
        <w:rPr>
          <w:noProof/>
        </w:rPr>
        <mc:AlternateContent>
          <mc:Choice Requires="wps">
            <w:drawing>
              <wp:anchor distT="0" distB="0" distL="114300" distR="114300" simplePos="0" relativeHeight="251661312" behindDoc="0" locked="0" layoutInCell="1" allowOverlap="1" wp14:anchorId="250C7305" wp14:editId="69A554F7">
                <wp:simplePos x="0" y="0"/>
                <wp:positionH relativeFrom="column">
                  <wp:posOffset>93345</wp:posOffset>
                </wp:positionH>
                <wp:positionV relativeFrom="paragraph">
                  <wp:posOffset>144780</wp:posOffset>
                </wp:positionV>
                <wp:extent cx="297180" cy="212090"/>
                <wp:effectExtent l="0" t="0" r="26670" b="16510"/>
                <wp:wrapNone/>
                <wp:docPr id="2" name="Rectangle 2"/>
                <wp:cNvGraphicFramePr/>
                <a:graphic xmlns:a="http://schemas.openxmlformats.org/drawingml/2006/main">
                  <a:graphicData uri="http://schemas.microsoft.com/office/word/2010/wordprocessingShape">
                    <wps:wsp>
                      <wps:cNvSpPr/>
                      <wps:spPr>
                        <a:xfrm>
                          <a:off x="0" y="0"/>
                          <a:ext cx="297180" cy="21209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7.35pt;margin-top:11.4pt;width:23.4pt;height:1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" filled="f" strokecolor="black [3213]" strokeweight="1.5pt"/>
            </w:pict>
          </mc:Fallback>
        </mc:AlternateContent>
      </w:r>
    </w:p>
    <w:p w:rsidR="0058484D" w:rsidRPr="0058484D" w:rsidRDefault="0058484D" w:rsidP="0058484D">
      <w:pPr>
        <w:ind w:left="720"/>
        <w:rPr>
          <w:sz w:val="24"/>
          <w:szCs w:val="24"/>
        </w:rPr>
      </w:pPr>
      <w:r>
        <w:rPr>
          <w:sz w:val="24"/>
          <w:szCs w:val="24"/>
        </w:rPr>
        <w:t>Yes, please sign me up for e</w:t>
      </w:r>
      <w:r w:rsidRPr="0058484D">
        <w:rPr>
          <w:sz w:val="24"/>
          <w:szCs w:val="24"/>
        </w:rPr>
        <w:t>-billing!</w:t>
      </w:r>
    </w:p>
    <w:p w:rsidR="0058484D" w:rsidRPr="0058484D" w:rsidRDefault="0058484D" w:rsidP="0058484D">
      <w:pPr>
        <w:ind w:left="720" w:firstLine="45"/>
        <w:rPr>
          <w:sz w:val="24"/>
          <w:szCs w:val="24"/>
        </w:rPr>
      </w:pPr>
    </w:p>
    <w:p w:rsidR="0058484D" w:rsidRPr="0058484D" w:rsidRDefault="0058484D" w:rsidP="0058484D">
      <w:pPr>
        <w:ind w:left="720" w:firstLine="45"/>
        <w:rPr>
          <w:sz w:val="24"/>
          <w:szCs w:val="24"/>
        </w:rPr>
      </w:pPr>
      <w:r w:rsidRPr="0058484D">
        <w:rPr>
          <w:sz w:val="24"/>
          <w:szCs w:val="24"/>
        </w:rPr>
        <w:t>I understand I will no longer receive paper statements in the mail and will be e-mailed my statements and newsletters</w:t>
      </w:r>
      <w:r>
        <w:rPr>
          <w:sz w:val="24"/>
          <w:szCs w:val="24"/>
        </w:rPr>
        <w:t>.</w:t>
      </w:r>
    </w:p>
    <w:p w:rsidR="0058484D" w:rsidRDefault="0058484D" w:rsidP="0058484D">
      <w:pPr>
        <w:ind w:left="720" w:firstLine="45"/>
      </w:pPr>
    </w:p>
    <w:p w:rsidR="0058484D" w:rsidRPr="00AD7C47" w:rsidRDefault="0058484D" w:rsidP="00AD7C47">
      <w:pPr>
        <w:ind w:left="720" w:firstLine="45"/>
        <w:rPr>
          <w:sz w:val="24"/>
          <w:szCs w:val="24"/>
        </w:rPr>
      </w:pPr>
      <w:r w:rsidRPr="0058484D">
        <w:rPr>
          <w:noProof/>
          <w:sz w:val="24"/>
          <w:szCs w:val="24"/>
        </w:rPr>
        <mc:AlternateContent>
          <mc:Choice Requires="wps">
            <w:drawing>
              <wp:anchor distT="0" distB="0" distL="114300" distR="114300" simplePos="0" relativeHeight="251663360" behindDoc="0" locked="0" layoutInCell="1" allowOverlap="1" wp14:anchorId="74273F29" wp14:editId="20AEEF73">
                <wp:simplePos x="0" y="0"/>
                <wp:positionH relativeFrom="column">
                  <wp:posOffset>1483848</wp:posOffset>
                </wp:positionH>
                <wp:positionV relativeFrom="paragraph">
                  <wp:posOffset>127635</wp:posOffset>
                </wp:positionV>
                <wp:extent cx="4430232" cy="7089"/>
                <wp:effectExtent l="0" t="0" r="27940" b="31115"/>
                <wp:wrapNone/>
                <wp:docPr id="4" name="Straight Connector 4"/>
                <wp:cNvGraphicFramePr/>
                <a:graphic xmlns:a="http://schemas.openxmlformats.org/drawingml/2006/main">
                  <a:graphicData uri="http://schemas.microsoft.com/office/word/2010/wordprocessingShape">
                    <wps:wsp>
                      <wps:cNvCnPr/>
                      <wps:spPr>
                        <a:xfrm>
                          <a:off x="0" y="0"/>
                          <a:ext cx="4430232" cy="708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6.85pt,10.05pt" to="465.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" strokecolor="black [3213]" strokeweight="1pt"/>
            </w:pict>
          </mc:Fallback>
        </mc:AlternateContent>
      </w:r>
      <w:r>
        <w:rPr>
          <w:sz w:val="24"/>
          <w:szCs w:val="24"/>
        </w:rPr>
        <w:t>E</w:t>
      </w:r>
      <w:r w:rsidRPr="0058484D">
        <w:rPr>
          <w:sz w:val="24"/>
          <w:szCs w:val="24"/>
        </w:rPr>
        <w:t>-mail address:</w:t>
      </w:r>
    </w:p>
    <w:sectPr w:rsidR="0058484D" w:rsidRPr="00AD7C47" w:rsidSect="00040F43">
      <w:type w:val="continuous"/>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65E" w:rsidRDefault="00B4065E">
      <w:r>
        <w:separator/>
      </w:r>
    </w:p>
  </w:endnote>
  <w:endnote w:type="continuationSeparator" w:id="0">
    <w:p w:rsidR="00B4065E" w:rsidRDefault="00B4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5C3" w:rsidRDefault="001E6BFF">
    <w:pPr>
      <w:pStyle w:val="Footer-Professional"/>
    </w:pPr>
    <w:r>
      <w:t>City of Seneca – 106 A Avenue – PO Box 208 – Seneca, Oregon 97873 – (541) 542-2161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65E" w:rsidRDefault="00B4065E">
      <w:r>
        <w:separator/>
      </w:r>
    </w:p>
  </w:footnote>
  <w:footnote w:type="continuationSeparator" w:id="0">
    <w:p w:rsidR="00B4065E" w:rsidRDefault="00B406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450E7"/>
    <w:multiLevelType w:val="hybridMultilevel"/>
    <w:tmpl w:val="E4540FA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nsid w:val="3721326F"/>
    <w:multiLevelType w:val="hybridMultilevel"/>
    <w:tmpl w:val="FB84B9C4"/>
    <w:lvl w:ilvl="0" w:tplc="24149A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1E14EF"/>
    <w:multiLevelType w:val="hybridMultilevel"/>
    <w:tmpl w:val="07C8E850"/>
    <w:lvl w:ilvl="0" w:tplc="9D0E974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F006A44"/>
    <w:multiLevelType w:val="hybridMultilevel"/>
    <w:tmpl w:val="F5460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DB"/>
    <w:rsid w:val="00040F43"/>
    <w:rsid w:val="00046F96"/>
    <w:rsid w:val="00070446"/>
    <w:rsid w:val="000A77D3"/>
    <w:rsid w:val="000D18AC"/>
    <w:rsid w:val="001237BB"/>
    <w:rsid w:val="001517D8"/>
    <w:rsid w:val="001525B7"/>
    <w:rsid w:val="00153053"/>
    <w:rsid w:val="001B603B"/>
    <w:rsid w:val="001E6BFF"/>
    <w:rsid w:val="0020144A"/>
    <w:rsid w:val="00205D24"/>
    <w:rsid w:val="00225B06"/>
    <w:rsid w:val="002564A5"/>
    <w:rsid w:val="00265733"/>
    <w:rsid w:val="002E1862"/>
    <w:rsid w:val="002E33F7"/>
    <w:rsid w:val="00304484"/>
    <w:rsid w:val="003407B1"/>
    <w:rsid w:val="003A007E"/>
    <w:rsid w:val="0040220E"/>
    <w:rsid w:val="00423BD2"/>
    <w:rsid w:val="00425B52"/>
    <w:rsid w:val="00465DB6"/>
    <w:rsid w:val="004710D1"/>
    <w:rsid w:val="004808A2"/>
    <w:rsid w:val="004C6A65"/>
    <w:rsid w:val="004F15C3"/>
    <w:rsid w:val="005169FA"/>
    <w:rsid w:val="0054121F"/>
    <w:rsid w:val="0055108D"/>
    <w:rsid w:val="00551CD5"/>
    <w:rsid w:val="00553EE1"/>
    <w:rsid w:val="00566115"/>
    <w:rsid w:val="00580E17"/>
    <w:rsid w:val="0058484D"/>
    <w:rsid w:val="005B069A"/>
    <w:rsid w:val="005B0888"/>
    <w:rsid w:val="005F3BFF"/>
    <w:rsid w:val="006356C0"/>
    <w:rsid w:val="00642BDB"/>
    <w:rsid w:val="00661FFC"/>
    <w:rsid w:val="006677E9"/>
    <w:rsid w:val="006909E2"/>
    <w:rsid w:val="006C6632"/>
    <w:rsid w:val="00714604"/>
    <w:rsid w:val="00757037"/>
    <w:rsid w:val="00785072"/>
    <w:rsid w:val="007A18EC"/>
    <w:rsid w:val="007B2595"/>
    <w:rsid w:val="007C7035"/>
    <w:rsid w:val="007D79E3"/>
    <w:rsid w:val="007E5836"/>
    <w:rsid w:val="007F1262"/>
    <w:rsid w:val="007F636B"/>
    <w:rsid w:val="0080073F"/>
    <w:rsid w:val="0080102A"/>
    <w:rsid w:val="00852092"/>
    <w:rsid w:val="008670E5"/>
    <w:rsid w:val="008A5CDA"/>
    <w:rsid w:val="008D2575"/>
    <w:rsid w:val="008D35EE"/>
    <w:rsid w:val="008F0F9C"/>
    <w:rsid w:val="00953B6A"/>
    <w:rsid w:val="00994E31"/>
    <w:rsid w:val="009B0E47"/>
    <w:rsid w:val="009B339D"/>
    <w:rsid w:val="00A01A38"/>
    <w:rsid w:val="00A20424"/>
    <w:rsid w:val="00A2197D"/>
    <w:rsid w:val="00A60C2F"/>
    <w:rsid w:val="00A76368"/>
    <w:rsid w:val="00A823C3"/>
    <w:rsid w:val="00AD7202"/>
    <w:rsid w:val="00AD7C47"/>
    <w:rsid w:val="00AF4DA5"/>
    <w:rsid w:val="00B16F0B"/>
    <w:rsid w:val="00B2519E"/>
    <w:rsid w:val="00B31000"/>
    <w:rsid w:val="00B4065E"/>
    <w:rsid w:val="00B50499"/>
    <w:rsid w:val="00B64ED2"/>
    <w:rsid w:val="00B77F42"/>
    <w:rsid w:val="00B92FBD"/>
    <w:rsid w:val="00BD6107"/>
    <w:rsid w:val="00BE7FC4"/>
    <w:rsid w:val="00C74C34"/>
    <w:rsid w:val="00C820CC"/>
    <w:rsid w:val="00CA73DB"/>
    <w:rsid w:val="00CC5C43"/>
    <w:rsid w:val="00CD3268"/>
    <w:rsid w:val="00D345E0"/>
    <w:rsid w:val="00D957C7"/>
    <w:rsid w:val="00D977B5"/>
    <w:rsid w:val="00DA0DCC"/>
    <w:rsid w:val="00DA515A"/>
    <w:rsid w:val="00DC5A6D"/>
    <w:rsid w:val="00DE4F28"/>
    <w:rsid w:val="00DF0812"/>
    <w:rsid w:val="00E5757E"/>
    <w:rsid w:val="00E72E7F"/>
    <w:rsid w:val="00EA13BA"/>
    <w:rsid w:val="00EE2EC2"/>
    <w:rsid w:val="00F15B57"/>
    <w:rsid w:val="00F176DC"/>
    <w:rsid w:val="00F17AF4"/>
    <w:rsid w:val="00F423E6"/>
    <w:rsid w:val="00F52AE7"/>
    <w:rsid w:val="00F5465C"/>
    <w:rsid w:val="00FD0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semiHidden/>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paragraph" w:styleId="BalloonText">
    <w:name w:val="Balloon Text"/>
    <w:basedOn w:val="Normal"/>
    <w:link w:val="BalloonTextChar"/>
    <w:uiPriority w:val="99"/>
    <w:semiHidden/>
    <w:unhideWhenUsed/>
    <w:rsid w:val="005B0888"/>
    <w:rPr>
      <w:rFonts w:ascii="Tahoma" w:hAnsi="Tahoma" w:cs="Tahoma"/>
      <w:sz w:val="16"/>
      <w:szCs w:val="16"/>
    </w:rPr>
  </w:style>
  <w:style w:type="character" w:customStyle="1" w:styleId="BalloonTextChar">
    <w:name w:val="Balloon Text Char"/>
    <w:basedOn w:val="DefaultParagraphFont"/>
    <w:link w:val="BalloonText"/>
    <w:uiPriority w:val="99"/>
    <w:semiHidden/>
    <w:rsid w:val="005B0888"/>
    <w:rPr>
      <w:rFonts w:ascii="Tahoma" w:hAnsi="Tahoma" w:cs="Tahoma"/>
      <w:sz w:val="16"/>
      <w:szCs w:val="16"/>
    </w:rPr>
  </w:style>
  <w:style w:type="table" w:styleId="TableGrid">
    <w:name w:val="Table Grid"/>
    <w:basedOn w:val="TableNormal"/>
    <w:uiPriority w:val="59"/>
    <w:rsid w:val="00040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semiHidden/>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paragraph" w:styleId="BalloonText">
    <w:name w:val="Balloon Text"/>
    <w:basedOn w:val="Normal"/>
    <w:link w:val="BalloonTextChar"/>
    <w:uiPriority w:val="99"/>
    <w:semiHidden/>
    <w:unhideWhenUsed/>
    <w:rsid w:val="005B0888"/>
    <w:rPr>
      <w:rFonts w:ascii="Tahoma" w:hAnsi="Tahoma" w:cs="Tahoma"/>
      <w:sz w:val="16"/>
      <w:szCs w:val="16"/>
    </w:rPr>
  </w:style>
  <w:style w:type="character" w:customStyle="1" w:styleId="BalloonTextChar">
    <w:name w:val="Balloon Text Char"/>
    <w:basedOn w:val="DefaultParagraphFont"/>
    <w:link w:val="BalloonText"/>
    <w:uiPriority w:val="99"/>
    <w:semiHidden/>
    <w:rsid w:val="005B0888"/>
    <w:rPr>
      <w:rFonts w:ascii="Tahoma" w:hAnsi="Tahoma" w:cs="Tahoma"/>
      <w:sz w:val="16"/>
      <w:szCs w:val="16"/>
    </w:rPr>
  </w:style>
  <w:style w:type="table" w:styleId="TableGrid">
    <w:name w:val="Table Grid"/>
    <w:basedOn w:val="TableNormal"/>
    <w:uiPriority w:val="59"/>
    <w:rsid w:val="00040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ty%20of\AppData\Roaming\Microsoft\Templates\Newsletter%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Newsletter wizard.wiz</Template>
  <TotalTime>72</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dc:creator>
  <cp:lastModifiedBy>City of</cp:lastModifiedBy>
  <cp:revision>3</cp:revision>
  <cp:lastPrinted>2016-02-23T22:09:00Z</cp:lastPrinted>
  <dcterms:created xsi:type="dcterms:W3CDTF">2016-02-23T22:09:00Z</dcterms:created>
  <dcterms:modified xsi:type="dcterms:W3CDTF">2016-02-23T23:21:00Z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TC062062951033</vt:lpwstr>
  </property>
</Properties>
</file>